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EB" w:rsidRPr="0021633F" w:rsidRDefault="00CD67EB" w:rsidP="00CD67EB">
      <w:pPr>
        <w:jc w:val="center"/>
        <w:rPr>
          <w:rFonts w:ascii="Twinkl" w:hAnsi="Twinkl"/>
          <w:sz w:val="36"/>
          <w:szCs w:val="36"/>
          <w:lang w:val="en-US"/>
        </w:rPr>
      </w:pPr>
      <w:bookmarkStart w:id="0" w:name="_GoBack"/>
      <w:bookmarkEnd w:id="0"/>
      <w:r w:rsidRPr="0021633F">
        <w:rPr>
          <w:rFonts w:ascii="Twinkl" w:hAnsi="Twinkl"/>
          <w:sz w:val="36"/>
          <w:szCs w:val="36"/>
          <w:lang w:val="en-US"/>
        </w:rPr>
        <w:t>Firs Primary School Subject Curriculum and Progression</w:t>
      </w:r>
    </w:p>
    <w:p w:rsidR="00DE39EB" w:rsidRDefault="00CD67EB" w:rsidP="00CD67EB">
      <w:pPr>
        <w:jc w:val="center"/>
        <w:rPr>
          <w:rFonts w:ascii="Twinkl" w:hAnsi="Twinkl"/>
          <w:b/>
          <w:sz w:val="36"/>
          <w:szCs w:val="36"/>
          <w:lang w:val="en-US"/>
        </w:rPr>
      </w:pPr>
      <w:r w:rsidRPr="0021633F">
        <w:rPr>
          <w:rFonts w:ascii="Twinkl" w:hAnsi="Twinkl"/>
          <w:b/>
          <w:sz w:val="36"/>
          <w:szCs w:val="36"/>
          <w:lang w:val="en-US"/>
        </w:rPr>
        <w:t>Geography</w:t>
      </w:r>
      <w:r>
        <w:rPr>
          <w:rFonts w:ascii="Twinkl" w:hAnsi="Twinkl"/>
          <w:b/>
          <w:sz w:val="36"/>
          <w:szCs w:val="36"/>
          <w:lang w:val="en-US"/>
        </w:rPr>
        <w:t>: Key Stage 3</w:t>
      </w:r>
    </w:p>
    <w:tbl>
      <w:tblPr>
        <w:tblStyle w:val="TableGrid"/>
        <w:tblW w:w="0" w:type="auto"/>
        <w:tblLook w:val="04A0" w:firstRow="1" w:lastRow="0" w:firstColumn="1" w:lastColumn="0" w:noHBand="0" w:noVBand="1"/>
      </w:tblPr>
      <w:tblGrid>
        <w:gridCol w:w="1021"/>
        <w:gridCol w:w="1021"/>
        <w:gridCol w:w="1022"/>
        <w:gridCol w:w="1021"/>
        <w:gridCol w:w="1022"/>
        <w:gridCol w:w="1702"/>
        <w:gridCol w:w="1703"/>
        <w:gridCol w:w="1703"/>
        <w:gridCol w:w="2554"/>
        <w:gridCol w:w="2555"/>
      </w:tblGrid>
      <w:tr w:rsidR="00CD67EB" w:rsidTr="00700AD5">
        <w:trPr>
          <w:trHeight w:val="1949"/>
        </w:trPr>
        <w:tc>
          <w:tcPr>
            <w:tcW w:w="15324" w:type="dxa"/>
            <w:gridSpan w:val="10"/>
            <w:shd w:val="clear" w:color="auto" w:fill="DEEAF6" w:themeFill="accent1" w:themeFillTint="33"/>
          </w:tcPr>
          <w:p w:rsidR="00CD67EB" w:rsidRPr="00E80012" w:rsidRDefault="00CD67EB" w:rsidP="00CD67EB">
            <w:pPr>
              <w:rPr>
                <w:rFonts w:ascii="Twinkl" w:hAnsi="Twinkl"/>
                <w:b/>
                <w:sz w:val="24"/>
                <w:u w:val="single"/>
              </w:rPr>
            </w:pPr>
            <w:r w:rsidRPr="00E80012">
              <w:rPr>
                <w:rFonts w:ascii="Twinkl" w:hAnsi="Twinkl"/>
                <w:b/>
                <w:sz w:val="24"/>
                <w:u w:val="single"/>
              </w:rPr>
              <w:t>Purpose of study:</w:t>
            </w:r>
          </w:p>
          <w:p w:rsidR="00CD67EB" w:rsidRPr="00E80012" w:rsidRDefault="00CD67EB" w:rsidP="00CD67EB">
            <w:pPr>
              <w:rPr>
                <w:rFonts w:ascii="Twinkl" w:hAnsi="Twinkl"/>
                <w:sz w:val="24"/>
              </w:rPr>
            </w:pPr>
            <w:r w:rsidRPr="00E80012">
              <w:rPr>
                <w:rFonts w:ascii="Twinkl" w:hAnsi="Twinkl"/>
                <w:sz w:val="24"/>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r w:rsidRPr="00E80012">
              <w:rPr>
                <w:rFonts w:ascii="Twinkl" w:hAnsi="Twinkl"/>
                <w:sz w:val="24"/>
              </w:rPr>
              <w:t>.</w:t>
            </w:r>
          </w:p>
        </w:tc>
      </w:tr>
      <w:tr w:rsidR="00700AD5" w:rsidTr="00700AD5">
        <w:trPr>
          <w:trHeight w:val="1465"/>
        </w:trPr>
        <w:tc>
          <w:tcPr>
            <w:tcW w:w="5107" w:type="dxa"/>
            <w:gridSpan w:val="5"/>
            <w:shd w:val="clear" w:color="auto" w:fill="auto"/>
            <w:vAlign w:val="center"/>
          </w:tcPr>
          <w:p w:rsidR="00700AD5" w:rsidRPr="00E80012" w:rsidRDefault="00700AD5" w:rsidP="00700AD5">
            <w:pPr>
              <w:jc w:val="center"/>
              <w:rPr>
                <w:rFonts w:ascii="Twinkl" w:hAnsi="Twinkl"/>
                <w:sz w:val="24"/>
              </w:rPr>
            </w:pPr>
            <w:r w:rsidRPr="00E80012">
              <w:rPr>
                <w:rFonts w:ascii="Twinkl" w:hAnsi="Twinkl"/>
                <w:b/>
                <w:sz w:val="24"/>
              </w:rPr>
              <w:t xml:space="preserve">Contextual world knowledge </w:t>
            </w:r>
            <w:r w:rsidRPr="00E80012">
              <w:rPr>
                <w:rFonts w:ascii="Twinkl" w:hAnsi="Twinkl"/>
                <w:sz w:val="24"/>
              </w:rPr>
              <w:t>of locations, places and geographical features.</w:t>
            </w:r>
          </w:p>
        </w:tc>
        <w:tc>
          <w:tcPr>
            <w:tcW w:w="5108" w:type="dxa"/>
            <w:gridSpan w:val="3"/>
            <w:shd w:val="clear" w:color="auto" w:fill="auto"/>
            <w:vAlign w:val="center"/>
          </w:tcPr>
          <w:p w:rsidR="00700AD5" w:rsidRPr="00E80012" w:rsidRDefault="00700AD5" w:rsidP="00700AD5">
            <w:pPr>
              <w:jc w:val="center"/>
              <w:rPr>
                <w:rFonts w:ascii="Twinkl" w:hAnsi="Twinkl"/>
                <w:sz w:val="24"/>
              </w:rPr>
            </w:pPr>
            <w:r w:rsidRPr="00E80012">
              <w:rPr>
                <w:rFonts w:ascii="Twinkl" w:hAnsi="Twinkl"/>
                <w:b/>
                <w:sz w:val="24"/>
              </w:rPr>
              <w:t xml:space="preserve">Understanding </w:t>
            </w:r>
            <w:r w:rsidRPr="00E80012">
              <w:rPr>
                <w:rFonts w:ascii="Twinkl" w:hAnsi="Twinkl"/>
                <w:sz w:val="24"/>
              </w:rPr>
              <w:t>conditions, processes and interactions that explain geographical features, distribution patters, and changes over time and space.</w:t>
            </w:r>
          </w:p>
        </w:tc>
        <w:tc>
          <w:tcPr>
            <w:tcW w:w="5109" w:type="dxa"/>
            <w:gridSpan w:val="2"/>
            <w:shd w:val="clear" w:color="auto" w:fill="auto"/>
            <w:vAlign w:val="center"/>
          </w:tcPr>
          <w:p w:rsidR="00700AD5" w:rsidRPr="00E80012" w:rsidRDefault="00700AD5" w:rsidP="00700AD5">
            <w:pPr>
              <w:jc w:val="center"/>
              <w:rPr>
                <w:rFonts w:ascii="Twinkl" w:hAnsi="Twinkl"/>
                <w:sz w:val="24"/>
              </w:rPr>
            </w:pPr>
            <w:r w:rsidRPr="00E80012">
              <w:rPr>
                <w:rFonts w:ascii="Twinkl" w:hAnsi="Twinkl"/>
                <w:sz w:val="24"/>
              </w:rPr>
              <w:t xml:space="preserve">Competence in </w:t>
            </w:r>
            <w:r w:rsidRPr="00E80012">
              <w:rPr>
                <w:rFonts w:ascii="Twinkl" w:hAnsi="Twinkl"/>
                <w:b/>
                <w:sz w:val="24"/>
              </w:rPr>
              <w:t xml:space="preserve">geographical enquiry </w:t>
            </w:r>
            <w:r w:rsidRPr="00E80012">
              <w:rPr>
                <w:rFonts w:ascii="Twinkl" w:hAnsi="Twinkl"/>
                <w:sz w:val="24"/>
              </w:rPr>
              <w:t>and the application of skills in observing, collecting, analysing, evaluating and communicating geographical information.</w:t>
            </w:r>
          </w:p>
        </w:tc>
      </w:tr>
      <w:tr w:rsidR="00700AD5" w:rsidTr="00700AD5">
        <w:trPr>
          <w:trHeight w:val="451"/>
        </w:trPr>
        <w:tc>
          <w:tcPr>
            <w:tcW w:w="15324" w:type="dxa"/>
            <w:gridSpan w:val="10"/>
            <w:shd w:val="clear" w:color="auto" w:fill="auto"/>
            <w:vAlign w:val="center"/>
          </w:tcPr>
          <w:p w:rsidR="00700AD5" w:rsidRPr="00E80012" w:rsidRDefault="00700AD5" w:rsidP="00700AD5">
            <w:pPr>
              <w:rPr>
                <w:rFonts w:ascii="Twinkl" w:hAnsi="Twinkl"/>
                <w:b/>
                <w:sz w:val="24"/>
              </w:rPr>
            </w:pPr>
            <w:r w:rsidRPr="00E80012">
              <w:rPr>
                <w:rFonts w:ascii="Twinkl" w:hAnsi="Twinkl"/>
                <w:b/>
                <w:sz w:val="24"/>
              </w:rPr>
              <w:t>By the age of 14, the pupils should:</w:t>
            </w:r>
          </w:p>
        </w:tc>
      </w:tr>
      <w:tr w:rsidR="00700AD5" w:rsidTr="00700AD5">
        <w:trPr>
          <w:trHeight w:val="2672"/>
        </w:trPr>
        <w:tc>
          <w:tcPr>
            <w:tcW w:w="5107" w:type="dxa"/>
            <w:gridSpan w:val="5"/>
            <w:shd w:val="clear" w:color="auto" w:fill="auto"/>
            <w:vAlign w:val="center"/>
          </w:tcPr>
          <w:p w:rsidR="00700AD5" w:rsidRPr="00E80012" w:rsidRDefault="00700AD5" w:rsidP="00700AD5">
            <w:pPr>
              <w:jc w:val="center"/>
              <w:rPr>
                <w:rFonts w:ascii="Twinkl" w:hAnsi="Twinkl"/>
                <w:sz w:val="24"/>
              </w:rPr>
            </w:pPr>
            <w:r w:rsidRPr="00E80012">
              <w:rPr>
                <w:rFonts w:ascii="Twinkl" w:hAnsi="Twinkl"/>
                <w:sz w:val="24"/>
              </w:rPr>
              <w:t>Have extensive knowledge relating to a wide range of places, environments and features at a variety of scales, extending from local to global.</w:t>
            </w:r>
          </w:p>
        </w:tc>
        <w:tc>
          <w:tcPr>
            <w:tcW w:w="5108" w:type="dxa"/>
            <w:gridSpan w:val="3"/>
            <w:shd w:val="clear" w:color="auto" w:fill="auto"/>
            <w:vAlign w:val="center"/>
          </w:tcPr>
          <w:p w:rsidR="00700AD5" w:rsidRPr="00E80012" w:rsidRDefault="00700AD5" w:rsidP="00700AD5">
            <w:pPr>
              <w:jc w:val="center"/>
              <w:rPr>
                <w:rFonts w:ascii="Twinkl" w:hAnsi="Twinkl" w:cs="Arial"/>
                <w:sz w:val="24"/>
                <w:szCs w:val="24"/>
              </w:rPr>
            </w:pPr>
            <w:r w:rsidRPr="00E80012">
              <w:rPr>
                <w:rFonts w:ascii="Twinkl" w:hAnsi="Twinkl" w:cs="Arial"/>
                <w:sz w:val="24"/>
                <w:szCs w:val="24"/>
              </w:rPr>
              <w:t>Understand the physical and human conditions and processes which lead to the development of, and change in, a variety of geographical features, systems and places. They can explain various ways in which places are linked and the impact such links have on people and environments. They can make connections between different geographical phenomena they have studied</w:t>
            </w:r>
          </w:p>
        </w:tc>
        <w:tc>
          <w:tcPr>
            <w:tcW w:w="5109" w:type="dxa"/>
            <w:gridSpan w:val="2"/>
            <w:shd w:val="clear" w:color="auto" w:fill="auto"/>
            <w:vAlign w:val="center"/>
          </w:tcPr>
          <w:p w:rsidR="00700AD5" w:rsidRPr="00E80012" w:rsidRDefault="00700AD5" w:rsidP="00700AD5">
            <w:pPr>
              <w:jc w:val="center"/>
              <w:rPr>
                <w:rFonts w:ascii="Twinkl" w:hAnsi="Twinkl" w:cs="Arial"/>
                <w:sz w:val="24"/>
                <w:szCs w:val="24"/>
              </w:rPr>
            </w:pPr>
            <w:r w:rsidRPr="00E80012">
              <w:rPr>
                <w:rFonts w:ascii="Twinkl" w:hAnsi="Twinkl" w:cs="Arial"/>
                <w:sz w:val="24"/>
                <w:szCs w:val="24"/>
              </w:rPr>
              <w:t>Be able with increasing independence to choose and use a wide range of data to help investigate, interpret, make judgements and draw conclusions about geographical questions, issues and problems, and express and engage with different points of view about these.</w:t>
            </w:r>
          </w:p>
        </w:tc>
      </w:tr>
      <w:tr w:rsidR="00700AD5" w:rsidTr="006115FB">
        <w:trPr>
          <w:trHeight w:val="420"/>
        </w:trPr>
        <w:tc>
          <w:tcPr>
            <w:tcW w:w="1021"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Local</w:t>
            </w:r>
          </w:p>
        </w:tc>
        <w:tc>
          <w:tcPr>
            <w:tcW w:w="1021"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Region</w:t>
            </w:r>
          </w:p>
        </w:tc>
        <w:tc>
          <w:tcPr>
            <w:tcW w:w="1022"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UK</w:t>
            </w:r>
          </w:p>
        </w:tc>
        <w:tc>
          <w:tcPr>
            <w:tcW w:w="1021"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NC Area</w:t>
            </w:r>
          </w:p>
        </w:tc>
        <w:tc>
          <w:tcPr>
            <w:tcW w:w="1022"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Global</w:t>
            </w:r>
          </w:p>
        </w:tc>
        <w:tc>
          <w:tcPr>
            <w:tcW w:w="1702"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Physical geography process-landform</w:t>
            </w:r>
          </w:p>
        </w:tc>
        <w:tc>
          <w:tcPr>
            <w:tcW w:w="1703"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Human geography process</w:t>
            </w:r>
          </w:p>
        </w:tc>
        <w:tc>
          <w:tcPr>
            <w:tcW w:w="1703"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Physical human interaction</w:t>
            </w:r>
          </w:p>
        </w:tc>
        <w:tc>
          <w:tcPr>
            <w:tcW w:w="2554"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Geographical skills – map work</w:t>
            </w:r>
          </w:p>
        </w:tc>
        <w:tc>
          <w:tcPr>
            <w:tcW w:w="2555" w:type="dxa"/>
            <w:shd w:val="clear" w:color="auto" w:fill="auto"/>
            <w:vAlign w:val="center"/>
          </w:tcPr>
          <w:p w:rsidR="00700AD5" w:rsidRPr="00E80012" w:rsidRDefault="00700AD5" w:rsidP="00700AD5">
            <w:pPr>
              <w:jc w:val="center"/>
              <w:rPr>
                <w:rFonts w:ascii="Twinkl" w:hAnsi="Twinkl" w:cs="Arial"/>
                <w:b/>
                <w:sz w:val="24"/>
                <w:szCs w:val="24"/>
              </w:rPr>
            </w:pPr>
            <w:r w:rsidRPr="00E80012">
              <w:rPr>
                <w:rFonts w:ascii="Twinkl" w:hAnsi="Twinkl" w:cs="Arial"/>
                <w:b/>
                <w:sz w:val="24"/>
                <w:szCs w:val="24"/>
              </w:rPr>
              <w:t>Fieldwork</w:t>
            </w:r>
          </w:p>
        </w:tc>
      </w:tr>
    </w:tbl>
    <w:p w:rsidR="00CD67EB" w:rsidRDefault="00CD67EB" w:rsidP="00CD67EB"/>
    <w:sectPr w:rsidR="00CD67EB" w:rsidSect="00CD67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EB"/>
    <w:rsid w:val="000E40F1"/>
    <w:rsid w:val="00700AD5"/>
    <w:rsid w:val="009F3B9A"/>
    <w:rsid w:val="00A96CB2"/>
    <w:rsid w:val="00CD67EB"/>
    <w:rsid w:val="00E80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749E"/>
  <w15:chartTrackingRefBased/>
  <w15:docId w15:val="{741BD347-0426-4552-8E97-47B691F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Hodges</dc:creator>
  <cp:keywords/>
  <dc:description/>
  <cp:lastModifiedBy>Courtney Hodges</cp:lastModifiedBy>
  <cp:revision>3</cp:revision>
  <dcterms:created xsi:type="dcterms:W3CDTF">2020-11-17T07:56:00Z</dcterms:created>
  <dcterms:modified xsi:type="dcterms:W3CDTF">2020-11-17T08:16:00Z</dcterms:modified>
</cp:coreProperties>
</file>